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beforeAutospacing="1" w:afterAutospacing="1"/>
        <w:ind w:hanging="0" w:left="0"/>
        <w:jc w:val="left"/>
        <w:outlineLvl w:val="0"/>
        <w:rPr>
          <w:sz w:val="28"/>
          <w:szCs w:val="28"/>
        </w:rPr>
      </w:pPr>
      <w:r>
        <w:rPr>
          <w:rFonts w:eastAsia="Times New Roman" w:cs="Times New Roman" w:ascii="Times New Roman" w:hAnsi="Times New Roman"/>
          <w:b/>
          <w:bCs/>
          <w:kern w:val="2"/>
          <w:sz w:val="28"/>
          <w:szCs w:val="28"/>
          <w:lang w:eastAsia="ru-RU"/>
        </w:rPr>
        <w:t>Надмір</w:t>
      </w:r>
      <w:r>
        <w:rPr>
          <w:rFonts w:eastAsia="Times New Roman" w:cs="Times New Roman" w:ascii="Times New Roman" w:hAnsi="Times New Roman"/>
          <w:b/>
          <w:bCs/>
          <w:kern w:val="2"/>
          <w:sz w:val="28"/>
          <w:szCs w:val="28"/>
          <w:lang w:eastAsia="ru-RU"/>
        </w:rPr>
        <w:t>у</w:t>
      </w:r>
      <w:r>
        <w:rPr>
          <w:rFonts w:eastAsia="Times New Roman" w:cs="Times New Roman" w:ascii="Times New Roman" w:hAnsi="Times New Roman"/>
          <w:b/>
          <w:bCs/>
          <w:kern w:val="2"/>
          <w:sz w:val="28"/>
          <w:szCs w:val="28"/>
          <w:lang w:eastAsia="ru-RU"/>
        </w:rPr>
        <w:t xml:space="preserve"> виплачену житлову субсидію доведеться повертати. </w:t>
      </w:r>
    </w:p>
    <w:p>
      <w:pPr>
        <w:pStyle w:val="Normal"/>
        <w:jc w:val="left"/>
        <w:rPr>
          <w:sz w:val="28"/>
          <w:szCs w:val="28"/>
        </w:rPr>
      </w:pPr>
      <w:r>
        <w:rPr>
          <w:rFonts w:eastAsia="Times New Roman" w:cs="Times New Roman" w:ascii="Times New Roman" w:hAnsi="Times New Roman"/>
          <w:sz w:val="28"/>
          <w:szCs w:val="28"/>
          <w:lang w:eastAsia="ru-RU"/>
        </w:rPr>
        <w:t>Переплата субсидії — це надміру виплачені бюджетні кошти, отримані особою без достатньої правової підстави. Виникає у двох випадках:</w:t>
      </w:r>
    </w:p>
    <w:p>
      <w:pPr>
        <w:pStyle w:val="Normal"/>
        <w:numPr>
          <w:ilvl w:val="0"/>
          <w:numId w:val="1"/>
        </w:numPr>
        <w:jc w:val="left"/>
        <w:rPr>
          <w:sz w:val="28"/>
          <w:szCs w:val="28"/>
        </w:rPr>
      </w:pPr>
      <w:r>
        <w:rPr>
          <w:rFonts w:eastAsia="Times New Roman" w:cs="Times New Roman" w:ascii="Times New Roman" w:hAnsi="Times New Roman"/>
          <w:sz w:val="28"/>
          <w:szCs w:val="28"/>
          <w:lang w:eastAsia="ru-RU"/>
        </w:rPr>
        <w:t>Якщо у заяві або декларації було зазначено недостовірну інформацію і субсидію призначили у більшому розмірі, ніж належно.</w:t>
      </w:r>
    </w:p>
    <w:p>
      <w:pPr>
        <w:pStyle w:val="Normal"/>
        <w:numPr>
          <w:ilvl w:val="0"/>
          <w:numId w:val="1"/>
        </w:numPr>
        <w:jc w:val="left"/>
        <w:rPr>
          <w:sz w:val="28"/>
          <w:szCs w:val="28"/>
        </w:rPr>
      </w:pPr>
      <w:r>
        <w:rPr>
          <w:rFonts w:eastAsia="Times New Roman" w:cs="Times New Roman" w:ascii="Times New Roman" w:hAnsi="Times New Roman"/>
          <w:sz w:val="28"/>
          <w:szCs w:val="28"/>
          <w:lang w:eastAsia="ru-RU"/>
        </w:rPr>
        <w:t>Якщо громадянин протягом 30 днів не повідомив про обставини, які призвели б до зменшення субсидії, і допомога нараховувалася в колишніх розмірах.</w:t>
      </w:r>
    </w:p>
    <w:p>
      <w:pPr>
        <w:pStyle w:val="Normal"/>
        <w:numPr>
          <w:ilvl w:val="0"/>
          <w:numId w:val="0"/>
        </w:numPr>
        <w:ind w:hanging="0" w:left="720"/>
        <w:jc w:val="left"/>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jc w:val="left"/>
        <w:rPr>
          <w:sz w:val="28"/>
          <w:szCs w:val="28"/>
        </w:rPr>
      </w:pPr>
      <w:r>
        <w:rPr>
          <w:rFonts w:eastAsia="Times New Roman" w:cs="Times New Roman" w:ascii="Times New Roman" w:hAnsi="Times New Roman"/>
          <w:b/>
          <w:bCs/>
          <w:sz w:val="28"/>
          <w:szCs w:val="28"/>
          <w:lang w:eastAsia="ru-RU"/>
        </w:rPr>
        <w:t>За яких підстав виплата житлової субсидії припиняється?</w:t>
      </w:r>
    </w:p>
    <w:p>
      <w:pPr>
        <w:pStyle w:val="Normal"/>
        <w:widowControl/>
        <w:bidi w:val="0"/>
        <w:spacing w:before="0" w:after="0"/>
        <w:ind w:firstLine="737" w:left="0" w:right="0"/>
        <w:jc w:val="left"/>
        <w:rPr>
          <w:sz w:val="28"/>
          <w:szCs w:val="28"/>
        </w:rPr>
      </w:pPr>
      <w:r>
        <w:rPr>
          <w:rFonts w:eastAsia="Times New Roman" w:cs="Times New Roman" w:ascii="Times New Roman" w:hAnsi="Times New Roman"/>
          <w:sz w:val="28"/>
          <w:szCs w:val="28"/>
          <w:lang w:eastAsia="ru-RU"/>
        </w:rPr>
        <w:t>Органи Пенсійного фонду України мають право перерахувати розмір субсидій і здійснити стягнення надміру виплачених коштів у випадках виявлення неправильних відомостей, наданих у довідках, наданих юридичними особами (у довідках про доходи, про склад зареєстрованих осіб, забезпеченість житловою площею тощо), або у разі виявлення під час обстеження матеріально-побутових умов домогосподарства ознак порушення норм законодавства щодо призначення субсидій.</w:t>
      </w:r>
    </w:p>
    <w:p>
      <w:pPr>
        <w:pStyle w:val="Normal"/>
        <w:widowControl/>
        <w:bidi w:val="0"/>
        <w:spacing w:before="0" w:after="0"/>
        <w:ind w:firstLine="737" w:left="0" w:right="0"/>
        <w:jc w:val="left"/>
        <w:rPr>
          <w:sz w:val="28"/>
          <w:szCs w:val="28"/>
        </w:rPr>
      </w:pPr>
      <w:r>
        <w:rPr>
          <w:rFonts w:eastAsia="Times New Roman" w:cs="Times New Roman" w:ascii="Times New Roman" w:hAnsi="Times New Roman"/>
          <w:sz w:val="28"/>
          <w:szCs w:val="28"/>
          <w:lang w:eastAsia="ru-RU"/>
        </w:rPr>
        <w:t>За наявності зазначених підстав виплата житлової субсидії припиняється, надміру отримані суми житлової субсидії громадянин повинен повернути на рахунок ПФУ. Якщо особа відмовляється добровільно повернути суму надміру виплаченої їй субсидії, то питання про примусове стягнення коштів вирішується в судовому порядку.</w:t>
      </w:r>
    </w:p>
    <w:p>
      <w:pPr>
        <w:pStyle w:val="Normal"/>
        <w:widowControl/>
        <w:bidi w:val="0"/>
        <w:spacing w:before="0" w:after="0"/>
        <w:ind w:firstLine="737" w:left="0" w:right="0"/>
        <w:jc w:val="left"/>
        <w:rPr>
          <w:sz w:val="28"/>
          <w:szCs w:val="28"/>
        </w:rPr>
      </w:pPr>
      <w:r>
        <w:rPr>
          <w:rFonts w:eastAsia="Times New Roman" w:cs="Times New Roman" w:ascii="Times New Roman" w:hAnsi="Times New Roman"/>
          <w:sz w:val="28"/>
          <w:szCs w:val="28"/>
          <w:lang w:eastAsia="ru-RU"/>
        </w:rPr>
        <w:t>У разі призначення субсидії на наступний період надмір</w:t>
      </w:r>
      <w:r>
        <w:rPr>
          <w:rFonts w:eastAsia="Times New Roman" w:cs="Times New Roman" w:ascii="Times New Roman" w:hAnsi="Times New Roman"/>
          <w:sz w:val="28"/>
          <w:szCs w:val="28"/>
          <w:lang w:eastAsia="ru-RU"/>
        </w:rPr>
        <w:t>у</w:t>
      </w:r>
      <w:r>
        <w:rPr>
          <w:rFonts w:eastAsia="Times New Roman" w:cs="Times New Roman" w:ascii="Times New Roman" w:hAnsi="Times New Roman"/>
          <w:sz w:val="28"/>
          <w:szCs w:val="28"/>
          <w:lang w:eastAsia="ru-RU"/>
        </w:rPr>
        <w:t xml:space="preserve"> виплачену суму утримуватимуть частинами, але не більше 20 % на місяць.</w:t>
      </w:r>
    </w:p>
    <w:p>
      <w:pPr>
        <w:pStyle w:val="Normal"/>
        <w:widowControl/>
        <w:bidi w:val="0"/>
        <w:spacing w:before="0" w:after="0"/>
        <w:ind w:firstLine="737" w:left="0" w:right="0"/>
        <w:jc w:val="left"/>
        <w:rPr>
          <w:sz w:val="28"/>
          <w:szCs w:val="28"/>
        </w:rPr>
      </w:pPr>
      <w:r>
        <w:rPr>
          <w:rFonts w:eastAsia="Times New Roman" w:cs="Times New Roman" w:ascii="Times New Roman" w:hAnsi="Times New Roman"/>
          <w:sz w:val="28"/>
          <w:szCs w:val="28"/>
          <w:lang w:eastAsia="ru-RU"/>
        </w:rPr>
        <w:t>Житлова субсидія не призначається (у тому числі на наступний період), якщо громадянин не повернув надміру перераховану (виплачену) суму житлової субсидії за попередні періоди на вимогу уповноваженого органу, або не сплачує суми до повернення, визначені уповноваженим органом.</w:t>
      </w:r>
    </w:p>
    <w:p>
      <w:pPr>
        <w:pStyle w:val="Normal"/>
        <w:widowControl/>
        <w:bidi w:val="0"/>
        <w:spacing w:before="0" w:after="0"/>
        <w:ind w:firstLine="737" w:left="0" w:right="0"/>
        <w:jc w:val="left"/>
        <w:rPr>
          <w:sz w:val="28"/>
          <w:szCs w:val="28"/>
        </w:rPr>
      </w:pPr>
      <w:r>
        <w:rPr>
          <w:rFonts w:eastAsia="Times New Roman" w:cs="Times New Roman" w:ascii="Times New Roman" w:hAnsi="Times New Roman"/>
          <w:sz w:val="28"/>
          <w:szCs w:val="28"/>
          <w:lang w:eastAsia="ru-RU"/>
        </w:rPr>
        <w:t>Найчастіше такі ситуації складаються внаслідок подання заявником недостовірних, неточних відомостей або ж неповідомлення органу Пенсійного фонду про зміну обставин, які впливають на обчислення розміру субсидії, її перерахунок, визначення права на зазначений вид державної допомоги.</w:t>
      </w:r>
    </w:p>
    <w:p>
      <w:pPr>
        <w:pStyle w:val="Normal"/>
        <w:jc w:val="left"/>
        <w:rPr>
          <w:sz w:val="28"/>
          <w:szCs w:val="28"/>
        </w:rPr>
      </w:pPr>
      <w:r>
        <w:rPr>
          <w:rFonts w:eastAsia="Times New Roman" w:cs="Times New Roman" w:ascii="Times New Roman" w:hAnsi="Times New Roman"/>
          <w:sz w:val="28"/>
          <w:szCs w:val="28"/>
          <w:lang w:eastAsia="ru-RU"/>
        </w:rPr>
        <w:t> </w:t>
      </w:r>
    </w:p>
    <w:p>
      <w:pPr>
        <w:pStyle w:val="Normal"/>
        <w:jc w:val="left"/>
        <w:rPr>
          <w:sz w:val="28"/>
          <w:szCs w:val="28"/>
        </w:rPr>
      </w:pPr>
      <w:r>
        <w:rPr>
          <w:rFonts w:eastAsia="Times New Roman" w:cs="Times New Roman" w:ascii="Times New Roman" w:hAnsi="Times New Roman"/>
          <w:b/>
          <w:bCs/>
          <w:sz w:val="28"/>
          <w:szCs w:val="28"/>
          <w:lang w:eastAsia="ru-RU"/>
        </w:rPr>
        <w:t>Як уникнути переплати?</w:t>
      </w:r>
    </w:p>
    <w:p>
      <w:pPr>
        <w:pStyle w:val="Normal"/>
        <w:jc w:val="left"/>
        <w:rPr>
          <w:sz w:val="28"/>
          <w:szCs w:val="28"/>
        </w:rPr>
      </w:pPr>
      <w:r>
        <w:rPr>
          <w:rFonts w:eastAsia="Times New Roman" w:cs="Times New Roman" w:ascii="Times New Roman" w:hAnsi="Times New Roman"/>
          <w:sz w:val="28"/>
          <w:szCs w:val="28"/>
          <w:lang w:eastAsia="ru-RU"/>
        </w:rPr>
        <w:t xml:space="preserve">Щоб уникнути переплати, а відповідно і стягнення надміру виплаченої субсидії, </w:t>
      </w:r>
      <w:r>
        <w:rPr>
          <w:rFonts w:eastAsia="Times New Roman" w:cs="Times New Roman" w:ascii="Times New Roman" w:hAnsi="Times New Roman"/>
          <w:b/>
          <w:bCs/>
          <w:i/>
          <w:iCs/>
          <w:sz w:val="28"/>
          <w:szCs w:val="28"/>
          <w:lang w:eastAsia="ru-RU"/>
        </w:rPr>
        <w:t>необхідно у 30-денний термін повідомляти орган Пенсійного фонду України про зміни</w:t>
      </w:r>
      <w:r>
        <w:rPr>
          <w:rFonts w:eastAsia="Times New Roman" w:cs="Times New Roman" w:ascii="Times New Roman" w:hAnsi="Times New Roman"/>
          <w:sz w:val="28"/>
          <w:szCs w:val="28"/>
          <w:lang w:eastAsia="ru-RU"/>
        </w:rPr>
        <w:t>:</w:t>
      </w:r>
    </w:p>
    <w:p>
      <w:pPr>
        <w:pStyle w:val="Normal"/>
        <w:numPr>
          <w:ilvl w:val="0"/>
          <w:numId w:val="2"/>
        </w:numPr>
        <w:jc w:val="left"/>
        <w:rPr>
          <w:sz w:val="28"/>
          <w:szCs w:val="28"/>
        </w:rPr>
      </w:pPr>
      <w:r>
        <w:rPr>
          <w:rFonts w:eastAsia="Times New Roman" w:cs="Times New Roman" w:ascii="Times New Roman" w:hAnsi="Times New Roman"/>
          <w:sz w:val="28"/>
          <w:szCs w:val="28"/>
          <w:lang w:eastAsia="ru-RU"/>
        </w:rPr>
        <w:t>у складі зареєстрованих у житловому приміщенні членів домогосподарства;</w:t>
      </w:r>
    </w:p>
    <w:p>
      <w:pPr>
        <w:pStyle w:val="Normal"/>
        <w:numPr>
          <w:ilvl w:val="0"/>
          <w:numId w:val="2"/>
        </w:numPr>
        <w:jc w:val="left"/>
        <w:rPr>
          <w:sz w:val="28"/>
          <w:szCs w:val="28"/>
        </w:rPr>
      </w:pPr>
      <w:r>
        <w:rPr>
          <w:rFonts w:eastAsia="Times New Roman" w:cs="Times New Roman" w:ascii="Times New Roman" w:hAnsi="Times New Roman"/>
          <w:sz w:val="28"/>
          <w:szCs w:val="28"/>
          <w:lang w:eastAsia="ru-RU"/>
        </w:rPr>
        <w:t>соціального статусу членів домогосподарства (набуття статусу пенсіонера, інваліда тощо); складу сім’ї члена домогосподарства;</w:t>
      </w:r>
    </w:p>
    <w:p>
      <w:pPr>
        <w:pStyle w:val="Normal"/>
        <w:numPr>
          <w:ilvl w:val="0"/>
          <w:numId w:val="2"/>
        </w:numPr>
        <w:jc w:val="left"/>
        <w:rPr>
          <w:sz w:val="28"/>
          <w:szCs w:val="28"/>
        </w:rPr>
      </w:pPr>
      <w:r>
        <w:rPr>
          <w:rFonts w:eastAsia="Times New Roman" w:cs="Times New Roman" w:ascii="Times New Roman" w:hAnsi="Times New Roman"/>
          <w:sz w:val="28"/>
          <w:szCs w:val="28"/>
          <w:lang w:eastAsia="ru-RU"/>
        </w:rPr>
        <w:t>переліку отримуваних житлово-комунальних послуг та умов їх надання;</w:t>
      </w:r>
    </w:p>
    <w:p>
      <w:pPr>
        <w:pStyle w:val="Normal"/>
        <w:numPr>
          <w:ilvl w:val="0"/>
          <w:numId w:val="2"/>
        </w:numPr>
        <w:jc w:val="left"/>
        <w:rPr>
          <w:sz w:val="28"/>
          <w:szCs w:val="28"/>
        </w:rPr>
      </w:pPr>
      <w:r>
        <w:rPr>
          <w:rFonts w:eastAsia="Times New Roman" w:cs="Times New Roman" w:ascii="Times New Roman" w:hAnsi="Times New Roman"/>
          <w:sz w:val="28"/>
          <w:szCs w:val="28"/>
          <w:lang w:eastAsia="ru-RU"/>
        </w:rPr>
        <w:t>зміни управителя, виконавця комунальних послуг, створення об’єднання власників;</w:t>
      </w:r>
    </w:p>
    <w:p>
      <w:pPr>
        <w:pStyle w:val="Normal"/>
        <w:numPr>
          <w:ilvl w:val="0"/>
          <w:numId w:val="2"/>
        </w:numPr>
        <w:jc w:val="left"/>
        <w:rPr>
          <w:sz w:val="28"/>
          <w:szCs w:val="28"/>
        </w:rPr>
      </w:pPr>
      <w:r>
        <w:rPr>
          <w:rFonts w:eastAsia="Times New Roman" w:cs="Times New Roman" w:ascii="Times New Roman" w:hAnsi="Times New Roman"/>
          <w:sz w:val="28"/>
          <w:szCs w:val="28"/>
          <w:lang w:eastAsia="ru-RU"/>
        </w:rPr>
        <w:t>майнового стану будь-кого зі складу домогосподарства;</w:t>
      </w:r>
    </w:p>
    <w:p>
      <w:pPr>
        <w:pStyle w:val="Normal"/>
        <w:numPr>
          <w:ilvl w:val="0"/>
          <w:numId w:val="2"/>
        </w:numPr>
        <w:jc w:val="left"/>
        <w:rPr>
          <w:sz w:val="28"/>
          <w:szCs w:val="28"/>
        </w:rPr>
      </w:pPr>
      <w:r>
        <w:rPr>
          <w:rFonts w:eastAsia="Times New Roman" w:cs="Times New Roman" w:ascii="Times New Roman" w:hAnsi="Times New Roman"/>
          <w:sz w:val="28"/>
          <w:szCs w:val="28"/>
          <w:lang w:eastAsia="ru-RU"/>
        </w:rPr>
        <w:t>купівлі земельної ділянки, нерухомого майна, транспортного засобу, цінних паперів, будівельних матеріалів, інших товарів довгострокового вжитку;</w:t>
      </w:r>
    </w:p>
    <w:p>
      <w:pPr>
        <w:pStyle w:val="Normal"/>
        <w:numPr>
          <w:ilvl w:val="0"/>
          <w:numId w:val="2"/>
        </w:numPr>
        <w:jc w:val="left"/>
        <w:rPr>
          <w:sz w:val="28"/>
          <w:szCs w:val="28"/>
        </w:rPr>
      </w:pPr>
      <w:r>
        <w:rPr>
          <w:rFonts w:eastAsia="Times New Roman" w:cs="Times New Roman" w:ascii="Times New Roman" w:hAnsi="Times New Roman"/>
          <w:sz w:val="28"/>
          <w:szCs w:val="28"/>
          <w:lang w:eastAsia="ru-RU"/>
        </w:rPr>
        <w:t>одноразової оплати будь-якої роботи або послуги (крім медичних, освітніх та житлово-комунальних);</w:t>
      </w:r>
    </w:p>
    <w:p>
      <w:pPr>
        <w:pStyle w:val="Normal"/>
        <w:numPr>
          <w:ilvl w:val="0"/>
          <w:numId w:val="2"/>
        </w:numPr>
        <w:jc w:val="left"/>
        <w:rPr>
          <w:sz w:val="28"/>
          <w:szCs w:val="28"/>
        </w:rPr>
      </w:pPr>
      <w:r>
        <w:rPr>
          <w:rFonts w:eastAsia="Times New Roman" w:cs="Times New Roman" w:ascii="Times New Roman" w:hAnsi="Times New Roman"/>
          <w:sz w:val="28"/>
          <w:szCs w:val="28"/>
          <w:lang w:eastAsia="ru-RU"/>
        </w:rPr>
        <w:t>здійснення внеску до статутного капіталу, благодійної діяльності;</w:t>
      </w:r>
    </w:p>
    <w:p>
      <w:pPr>
        <w:pStyle w:val="Normal"/>
        <w:numPr>
          <w:ilvl w:val="0"/>
          <w:numId w:val="2"/>
        </w:numPr>
        <w:jc w:val="left"/>
        <w:rPr>
          <w:sz w:val="28"/>
          <w:szCs w:val="28"/>
        </w:rPr>
      </w:pPr>
      <w:r>
        <w:rPr>
          <w:rFonts w:eastAsia="Times New Roman" w:cs="Times New Roman" w:ascii="Times New Roman" w:hAnsi="Times New Roman"/>
          <w:sz w:val="28"/>
          <w:szCs w:val="28"/>
          <w:lang w:eastAsia="ru-RU"/>
        </w:rPr>
        <w:t>надання позики, якщо сума операції перевищує 50 тис. грн і здійснена впродовж 12 місяців перед місяцем звернення за субсидією;</w:t>
      </w:r>
    </w:p>
    <w:p>
      <w:pPr>
        <w:pStyle w:val="Normal"/>
        <w:numPr>
          <w:ilvl w:val="0"/>
          <w:numId w:val="2"/>
        </w:numPr>
        <w:jc w:val="left"/>
        <w:rPr>
          <w:sz w:val="28"/>
          <w:szCs w:val="28"/>
        </w:rPr>
      </w:pPr>
      <w:r>
        <w:rPr>
          <w:rFonts w:eastAsia="Times New Roman" w:cs="Times New Roman" w:ascii="Times New Roman" w:hAnsi="Times New Roman"/>
          <w:sz w:val="28"/>
          <w:szCs w:val="28"/>
          <w:lang w:eastAsia="ru-RU"/>
        </w:rPr>
        <w:t>настання права власності більш ніж на одне житлове приміщення (квартиру, будинок);</w:t>
      </w:r>
    </w:p>
    <w:p>
      <w:pPr>
        <w:pStyle w:val="Normal"/>
        <w:numPr>
          <w:ilvl w:val="0"/>
          <w:numId w:val="2"/>
        </w:numPr>
        <w:jc w:val="left"/>
        <w:rPr>
          <w:sz w:val="28"/>
          <w:szCs w:val="28"/>
        </w:rPr>
      </w:pPr>
      <w:r>
        <w:rPr>
          <w:rFonts w:eastAsia="Times New Roman" w:cs="Times New Roman" w:ascii="Times New Roman" w:hAnsi="Times New Roman"/>
          <w:sz w:val="28"/>
          <w:szCs w:val="28"/>
          <w:lang w:eastAsia="ru-RU"/>
        </w:rPr>
        <w:t>відкриття депозиту або придбання облігацій на суму, що перевищує 100 тис. грн;</w:t>
      </w:r>
    </w:p>
    <w:p>
      <w:pPr>
        <w:pStyle w:val="Normal"/>
        <w:numPr>
          <w:ilvl w:val="0"/>
          <w:numId w:val="2"/>
        </w:numPr>
        <w:jc w:val="left"/>
        <w:rPr>
          <w:sz w:val="28"/>
          <w:szCs w:val="28"/>
        </w:rPr>
      </w:pPr>
      <w:r>
        <w:rPr>
          <w:rFonts w:eastAsia="Times New Roman" w:cs="Times New Roman" w:ascii="Times New Roman" w:hAnsi="Times New Roman"/>
          <w:sz w:val="28"/>
          <w:szCs w:val="28"/>
          <w:lang w:eastAsia="ru-RU"/>
        </w:rPr>
        <w:t>здійснення операції з купівлі іноземної валюти та банківських металів на загальну суму понад 50 тис. грн;</w:t>
      </w:r>
    </w:p>
    <w:p>
      <w:pPr>
        <w:pStyle w:val="Normal"/>
        <w:numPr>
          <w:ilvl w:val="0"/>
          <w:numId w:val="2"/>
        </w:numPr>
        <w:jc w:val="left"/>
        <w:rPr>
          <w:sz w:val="28"/>
          <w:szCs w:val="28"/>
        </w:rPr>
      </w:pPr>
      <w:r>
        <w:rPr>
          <w:rFonts w:eastAsia="Times New Roman" w:cs="Times New Roman" w:ascii="Times New Roman" w:hAnsi="Times New Roman"/>
          <w:sz w:val="28"/>
          <w:szCs w:val="28"/>
          <w:lang w:eastAsia="ru-RU"/>
        </w:rPr>
        <w:t>отримання одноразового доходу в сумі, що перевищує 25-кратний розмір прожиткового мінімуму (крім допомоги на здобуття освіти, отримання медичних послуг, подолання наслідків стихійного лиха, інших катастроф; страхових виплат; спадщини у вигляді нерухомого майна).</w:t>
      </w:r>
    </w:p>
    <w:p>
      <w:pPr>
        <w:pStyle w:val="Normal"/>
        <w:widowControl/>
        <w:numPr>
          <w:ilvl w:val="0"/>
          <w:numId w:val="0"/>
        </w:numPr>
        <w:bidi w:val="0"/>
        <w:spacing w:before="0" w:after="0"/>
        <w:ind w:hanging="0" w:left="0" w:right="0"/>
        <w:jc w:val="left"/>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widowControl/>
        <w:numPr>
          <w:ilvl w:val="0"/>
          <w:numId w:val="0"/>
        </w:numPr>
        <w:bidi w:val="0"/>
        <w:spacing w:before="0" w:after="0"/>
        <w:ind w:hanging="0" w:left="0" w:right="0"/>
        <w:jc w:val="left"/>
        <w:rPr>
          <w:sz w:val="28"/>
          <w:szCs w:val="28"/>
        </w:rPr>
      </w:pPr>
      <w:r>
        <w:rPr>
          <w:rFonts w:eastAsia="Times New Roman" w:cs="Times New Roman" w:ascii="Times New Roman" w:hAnsi="Times New Roman"/>
          <w:b/>
          <w:sz w:val="28"/>
          <w:szCs w:val="28"/>
          <w:lang w:eastAsia="ru-RU"/>
        </w:rPr>
        <w:t xml:space="preserve">За інформацією Головного управління Пенсійного фонду України в Чернігівській області </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6c6d"/>
    <w:pPr>
      <w:widowControl/>
      <w:suppressAutoHyphens w:val="true"/>
      <w:bidi w:val="0"/>
      <w:spacing w:before="0" w:after="0"/>
      <w:jc w:val="both"/>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1">
    <w:name w:val="Heading 1"/>
    <w:basedOn w:val="Normal"/>
    <w:link w:val="1"/>
    <w:uiPriority w:val="9"/>
    <w:qFormat/>
    <w:rsid w:val="004f7af9"/>
    <w:pPr>
      <w:spacing w:beforeAutospacing="1" w:afterAutospacing="1"/>
      <w:jc w:val="left"/>
      <w:outlineLvl w:val="0"/>
    </w:pPr>
    <w:rPr>
      <w:rFonts w:ascii="Times New Roman" w:hAnsi="Times New Roman" w:eastAsia="Times New Roman" w:cs="Times New Roman"/>
      <w:b/>
      <w:bCs/>
      <w:kern w:val="2"/>
      <w:sz w:val="48"/>
      <w:szCs w:val="48"/>
      <w:lang w:val="ru-RU" w:eastAsia="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4f7af9"/>
    <w:rPr>
      <w:rFonts w:ascii="Times New Roman" w:hAnsi="Times New Roman" w:eastAsia="Times New Roman" w:cs="Times New Roman"/>
      <w:b/>
      <w:bCs/>
      <w:kern w:val="2"/>
      <w:sz w:val="48"/>
      <w:szCs w:val="48"/>
      <w:lang w:eastAsia="ru-RU"/>
    </w:rPr>
  </w:style>
  <w:style w:type="character" w:styleId="Datepost" w:customStyle="1">
    <w:name w:val="date_post"/>
    <w:basedOn w:val="DefaultParagraphFont"/>
    <w:qFormat/>
    <w:rsid w:val="004f7af9"/>
    <w:rPr/>
  </w:style>
  <w:style w:type="character" w:styleId="Hyperlink">
    <w:name w:val="Hyperlink"/>
    <w:basedOn w:val="DefaultParagraphFont"/>
    <w:uiPriority w:val="99"/>
    <w:semiHidden/>
    <w:unhideWhenUsed/>
    <w:rsid w:val="004f7af9"/>
    <w:rPr>
      <w:color w:val="0000FF"/>
      <w:u w:val="single"/>
    </w:rPr>
  </w:style>
  <w:style w:type="character" w:styleId="Strong">
    <w:name w:val="Strong"/>
    <w:basedOn w:val="DefaultParagraphFont"/>
    <w:uiPriority w:val="22"/>
    <w:qFormat/>
    <w:rsid w:val="004f7af9"/>
    <w:rPr>
      <w:b/>
      <w:bCs/>
    </w:rPr>
  </w:style>
  <w:style w:type="character" w:styleId="Emphasis">
    <w:name w:val="Emphasis"/>
    <w:basedOn w:val="DefaultParagraphFont"/>
    <w:uiPriority w:val="20"/>
    <w:qFormat/>
    <w:rsid w:val="004f7af9"/>
    <w:rPr>
      <w:i/>
      <w:iCs/>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Покажчик"/>
    <w:basedOn w:val="Normal"/>
    <w:qFormat/>
    <w:pPr>
      <w:suppressLineNumbers/>
    </w:pPr>
    <w:rPr>
      <w:rFonts w:cs="Arial"/>
    </w:rPr>
  </w:style>
  <w:style w:type="paragraph" w:styleId="NormalWeb">
    <w:name w:val="Normal (Web)"/>
    <w:basedOn w:val="Normal"/>
    <w:uiPriority w:val="99"/>
    <w:semiHidden/>
    <w:unhideWhenUsed/>
    <w:qFormat/>
    <w:rsid w:val="004f7af9"/>
    <w:pPr>
      <w:spacing w:beforeAutospacing="1" w:afterAutospacing="1"/>
      <w:jc w:val="left"/>
    </w:pPr>
    <w:rPr>
      <w:rFonts w:ascii="Times New Roman" w:hAnsi="Times New Roman" w:eastAsia="Times New Roman" w:cs="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TotalTime>
  <Application>LibreOffice/7.6.0.3$Windows_X86_64 LibreOffice_project/69edd8b8ebc41d00b4de3915dc82f8f0fc3b6265</Application>
  <AppVersion>15.0000</AppVersion>
  <Pages>2</Pages>
  <Words>466</Words>
  <Characters>3168</Characters>
  <CharactersWithSpaces>3597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2024-06-07T08:30:00Z</dcterms:created>
  <dc:creator>Имя учётки</dc:creator>
  <dc:description/>
  <dc:language>uk-UA</dc:language>
  <cp:lastModifiedBy/>
  <dcterms:modified xsi:type="dcterms:W3CDTF">2024-06-10T16:15:11Z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